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36"/>
        <w:gridCol w:w="48"/>
        <w:gridCol w:w="1967"/>
        <w:gridCol w:w="1318"/>
        <w:gridCol w:w="2018"/>
        <w:gridCol w:w="1267"/>
        <w:tblGridChange w:id="0">
          <w:tblGrid>
            <w:gridCol w:w="3236"/>
            <w:gridCol w:w="48"/>
            <w:gridCol w:w="1967"/>
            <w:gridCol w:w="1318"/>
            <w:gridCol w:w="2018"/>
            <w:gridCol w:w="1267"/>
          </w:tblGrid>
        </w:tblGridChange>
      </w:tblGrid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02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Студијски програм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Oбразовање наставника предметне наставе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08">
            <w:pPr>
              <w:ind w:left="1600" w:hanging="1600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Методика наставе техничко-технолошких предмета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0E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Наставник: 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Никола Мацут, Лидија Радуловић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14">
            <w:pPr>
              <w:jc w:val="both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Статус предмета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: изборни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1A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Број ЕСПБ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: 6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20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Услов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: -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26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Развој компетенција наставника за планирање, организовање и реализацију наставе техничко-технолошких предмета, као и за праћење и вредновање ефеката наставе и учења.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2D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Студенти: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познају програмска документа за предмет (област) коју реализују,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разумеју научне области  релевантне за наставни предмет и њихово значење за наставу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планирају и реализују наставу предмета полазећи од савремених модела наставе и образовања 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самостално планирају наставу предмета у складу са програмом наставе и учења и стандардима постигнућа, као и у складу с предзнањима и могућностима ученика,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примењују различите облике рада и активности у складу са знањима и искуствима којима ученици располажу, индивидуалним карактеристикама и потребама ученика, постављеним циљевима, исходима, садржајима предмета и карактеристикама контекста у којем се одвија учење.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прате наставни процес и оцењују напредовање ученика примењујући различите врсте и технике оцењивања, у функцији учења.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3A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i w:val="1"/>
                <w:iCs w:val="1"/>
                <w:sz w:val="21"/>
                <w:szCs w:val="21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both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Специфичности техничко-технолошких предмета и техничко-технолошки предмети у систему образовања у оквиру образовног профила. Циљеви и задаци наставе техничко-технолошких предмета. Наставни планови и програми техничко-технолошких предмета. Особености програмирања и припремања за наставу техничко-технолошких предмета – макропрограмирање и микропрограмирање (глобални и оперативни планови рада, писане припреме за час). Специфичност наставних принципа, средстава и материјала, наставних облика и метода у техничко-технолошким предметима. Дидактички и методички захтеви за избор и примену наставних средстава и материјала у реализацији техничко-технолошких програмских садржаја. Мултимедијалност и значај коришћење информационо-комуникационих технологија. Праћење и оцењивање у контексту техничко-технолошких предмета. Увођење методичких иновација у наставни процес. 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jc w:val="both"/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i w:val="1"/>
                <w:iCs w:val="1"/>
                <w:sz w:val="21"/>
                <w:szCs w:val="21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both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Огледи и мерења, компјутерске симулације, коришћење софтвера за анализу и синтезу, реализација пројеката, опсервација часова, планирање и реализација часова, осмишљавање евалуативне активности.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45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ind w:left="300" w:hanging="16.000000000000014"/>
              <w:jc w:val="both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Ивић, И., Пешикан, А., Антић, С. (2001). </w:t>
            </w:r>
            <w:r w:rsidDel="00000000" w:rsidR="00000000" w:rsidRPr="00000000">
              <w:rPr>
                <w:i w:val="1"/>
                <w:iCs w:val="1"/>
                <w:sz w:val="21"/>
                <w:szCs w:val="21"/>
                <w:vertAlign w:val="baseline"/>
                <w:rtl w:val="0"/>
              </w:rPr>
              <w:t xml:space="preserve">Активно учење 2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. Београд: Институт за психологију.</w:t>
            </w:r>
          </w:p>
          <w:p w:rsidR="00000000" w:rsidDel="00000000" w:rsidP="00000000" w:rsidRDefault="00000000" w:rsidRPr="00000000" w14:paraId="00000047">
            <w:pPr>
              <w:ind w:left="300" w:hanging="16.000000000000014"/>
              <w:jc w:val="both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Тривић, Д. (2013). </w:t>
            </w:r>
            <w:r w:rsidDel="00000000" w:rsidR="00000000" w:rsidRPr="00000000">
              <w:rPr>
                <w:i w:val="1"/>
                <w:iCs w:val="1"/>
                <w:sz w:val="21"/>
                <w:szCs w:val="21"/>
                <w:vertAlign w:val="baseline"/>
                <w:rtl w:val="0"/>
              </w:rPr>
              <w:t xml:space="preserve">Теме из методике наставе хемије.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 Београд: Klett.</w:t>
            </w:r>
          </w:p>
          <w:p w:rsidR="00000000" w:rsidDel="00000000" w:rsidP="00000000" w:rsidRDefault="00000000" w:rsidRPr="00000000" w14:paraId="00000048">
            <w:pPr>
              <w:ind w:left="300" w:hanging="16.000000000000014"/>
              <w:jc w:val="both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Sikirica, М. (2003). </w:t>
            </w:r>
            <w:r w:rsidDel="00000000" w:rsidR="00000000" w:rsidRPr="00000000">
              <w:rPr>
                <w:i w:val="1"/>
                <w:iCs w:val="1"/>
                <w:sz w:val="21"/>
                <w:szCs w:val="21"/>
                <w:vertAlign w:val="baseline"/>
                <w:rtl w:val="0"/>
              </w:rPr>
              <w:t xml:space="preserve">Metodika nastave hemije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. Zagreb: Školska knjiga. </w:t>
            </w:r>
          </w:p>
          <w:p w:rsidR="00000000" w:rsidDel="00000000" w:rsidP="00000000" w:rsidRDefault="00000000" w:rsidRPr="00000000" w14:paraId="00000049">
            <w:pPr>
              <w:ind w:left="300" w:hanging="16.000000000000014"/>
              <w:jc w:val="both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Golubović, D. (2008). </w:t>
            </w:r>
            <w:r w:rsidDel="00000000" w:rsidR="00000000" w:rsidRPr="00000000">
              <w:rPr>
                <w:i w:val="1"/>
                <w:iCs w:val="1"/>
                <w:sz w:val="21"/>
                <w:szCs w:val="21"/>
                <w:vertAlign w:val="baseline"/>
                <w:rtl w:val="0"/>
              </w:rPr>
              <w:t xml:space="preserve">Metodika nastave tehničkog i informatičkog obrazovanja: u nastavnoj teoriji i praksi. 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Beograd: Kompjuter biblioteka.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leader="none" w:pos="567"/>
              </w:tabs>
              <w:spacing w:after="60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leader="none" w:pos="567"/>
              </w:tabs>
              <w:spacing w:after="60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Теоријска настава: 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leader="none" w:pos="567"/>
              </w:tabs>
              <w:spacing w:after="60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Практична настава: 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55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Усмено излагање, демонстрација, компјутерске симулације, огледи и мерења, индивидуални, групни и рад у пару, дискусије, посете институцијама.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5C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Оцена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2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3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64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6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9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A">
            <w:pPr>
              <w:jc w:val="both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C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F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0">
            <w:pPr>
              <w:jc w:val="both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2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3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0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5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6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8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i w:val="1"/>
                <w:iCs w:val="1"/>
                <w:sz w:val="21"/>
                <w:szCs w:val="21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B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семинар-и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C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E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rPr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K6kScLAPFkxKFL6VXHLjhyRPvQ==">CgMxLjA4AHIhMWNxd1piQUlaQ2lWMUIzWlVLLU1OLUx6THlHUklrdVp5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